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DF5" w:rsidRPr="006C62E6" w:rsidRDefault="007F0DF5" w:rsidP="007F0DF5">
      <w:pPr>
        <w:ind w:left="2160" w:firstLine="720"/>
        <w:rPr>
          <w:rFonts w:ascii="Aurora BdCn BT" w:hAnsi="Aurora BdCn BT"/>
          <w:sz w:val="28"/>
        </w:rPr>
      </w:pPr>
      <w:r w:rsidRPr="006C62E6">
        <w:rPr>
          <w:rFonts w:ascii="Aurora BdCn BT" w:hAnsi="Aurora BdCn BT"/>
          <w:sz w:val="28"/>
        </w:rPr>
        <w:t xml:space="preserve">Chapter </w:t>
      </w:r>
      <w:r>
        <w:rPr>
          <w:rFonts w:ascii="Aurora BdCn BT" w:hAnsi="Aurora BdCn BT"/>
          <w:emboss/>
          <w:color w:val="FFFFFF"/>
          <w:sz w:val="28"/>
        </w:rPr>
        <w:t>2 - 4</w:t>
      </w:r>
      <w:r w:rsidRPr="006C62E6">
        <w:rPr>
          <w:rFonts w:ascii="Aurora BdCn BT" w:hAnsi="Aurora BdCn BT"/>
          <w:sz w:val="28"/>
        </w:rPr>
        <w:t>:</w:t>
      </w:r>
    </w:p>
    <w:p w:rsidR="007F0DF5" w:rsidRPr="009725CA" w:rsidRDefault="007F0DF5" w:rsidP="007F0DF5">
      <w:pPr>
        <w:rPr>
          <w:rFonts w:ascii="Aurora BdCn BT" w:hAnsi="Aurora BdCn BT"/>
          <w:sz w:val="32"/>
        </w:rPr>
      </w:pPr>
      <w:r w:rsidRPr="006C62E6">
        <w:rPr>
          <w:rFonts w:ascii="Aurora BdCn BT" w:hAnsi="Aurora BdCn BT"/>
          <w:sz w:val="28"/>
        </w:rPr>
        <w:t xml:space="preserve"> </w:t>
      </w:r>
      <w:r w:rsidRPr="006C62E6">
        <w:rPr>
          <w:rFonts w:ascii="Aurora BdCn BT" w:hAnsi="Aurora BdCn BT"/>
          <w:sz w:val="28"/>
        </w:rPr>
        <w:tab/>
      </w:r>
      <w:r w:rsidRPr="006C62E6">
        <w:rPr>
          <w:rFonts w:ascii="Aurora BdCn BT" w:hAnsi="Aurora BdCn BT"/>
          <w:sz w:val="28"/>
        </w:rPr>
        <w:tab/>
      </w:r>
      <w:r w:rsidRPr="006C62E6">
        <w:rPr>
          <w:rFonts w:ascii="Aurora BdCn BT" w:hAnsi="Aurora BdCn BT"/>
          <w:sz w:val="28"/>
        </w:rPr>
        <w:tab/>
      </w:r>
      <w:r>
        <w:rPr>
          <w:rFonts w:ascii="Aurora BdCn BT" w:hAnsi="Aurora BdCn BT"/>
          <w:sz w:val="28"/>
        </w:rPr>
        <w:tab/>
      </w:r>
      <w:r>
        <w:rPr>
          <w:rFonts w:ascii="Aurora BdCn BT" w:hAnsi="Aurora BdCn BT"/>
          <w:sz w:val="28"/>
        </w:rPr>
        <w:tab/>
      </w:r>
      <w:r>
        <w:rPr>
          <w:rFonts w:ascii="Aurora BdCn BT" w:hAnsi="Aurora BdCn BT"/>
          <w:sz w:val="32"/>
        </w:rPr>
        <w:t>From CHOICE WORDS</w:t>
      </w:r>
    </w:p>
    <w:p w:rsidR="007F0DF5" w:rsidRPr="00B51ABE" w:rsidRDefault="007F0DF5" w:rsidP="007F0DF5">
      <w:pPr>
        <w:spacing w:line="276" w:lineRule="auto"/>
        <w:jc w:val="both"/>
        <w:rPr>
          <w:rFonts w:asciiTheme="minorHAnsi" w:hAnsiTheme="minorHAnsi"/>
        </w:rPr>
      </w:pPr>
    </w:p>
    <w:tbl>
      <w:tblPr>
        <w:tblStyle w:val="TableGrid"/>
        <w:tblW w:w="0" w:type="auto"/>
        <w:tblLook w:val="04A0"/>
      </w:tblPr>
      <w:tblGrid>
        <w:gridCol w:w="918"/>
        <w:gridCol w:w="4050"/>
        <w:gridCol w:w="4608"/>
      </w:tblGrid>
      <w:tr w:rsidR="007F0DF5" w:rsidRPr="00B51ABE" w:rsidTr="002C2E09">
        <w:tc>
          <w:tcPr>
            <w:tcW w:w="918" w:type="dxa"/>
          </w:tcPr>
          <w:p w:rsidR="007F0DF5" w:rsidRPr="00B51ABE" w:rsidRDefault="007F0DF5" w:rsidP="002C2E09">
            <w:pPr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Page</w:t>
            </w:r>
          </w:p>
        </w:tc>
        <w:tc>
          <w:tcPr>
            <w:tcW w:w="4050" w:type="dxa"/>
          </w:tcPr>
          <w:p w:rsidR="007F0DF5" w:rsidRPr="00B51ABE" w:rsidRDefault="007F0DF5" w:rsidP="002C2E09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B51ABE">
              <w:rPr>
                <w:rFonts w:asciiTheme="minorHAnsi" w:hAnsiTheme="minorHAnsi"/>
                <w:b/>
                <w:i/>
              </w:rPr>
              <w:t>Interesting Section of the Chapter</w:t>
            </w:r>
          </w:p>
        </w:tc>
        <w:tc>
          <w:tcPr>
            <w:tcW w:w="4608" w:type="dxa"/>
          </w:tcPr>
          <w:p w:rsidR="007F0DF5" w:rsidRPr="00B51ABE" w:rsidRDefault="007F0DF5" w:rsidP="003E44CB">
            <w:pPr>
              <w:spacing w:line="276" w:lineRule="auto"/>
              <w:jc w:val="center"/>
              <w:rPr>
                <w:rFonts w:asciiTheme="minorHAnsi" w:hAnsiTheme="minorHAnsi"/>
                <w:b/>
                <w:i/>
              </w:rPr>
            </w:pPr>
            <w:r w:rsidRPr="00B51ABE">
              <w:rPr>
                <w:rFonts w:asciiTheme="minorHAnsi" w:hAnsiTheme="minorHAnsi"/>
                <w:b/>
                <w:i/>
              </w:rPr>
              <w:t>My Thoughts, Comments &amp; Questions /</w:t>
            </w:r>
          </w:p>
          <w:p w:rsidR="007F0DF5" w:rsidRPr="00B51ABE" w:rsidRDefault="007F0DF5" w:rsidP="003E44CB">
            <w:pPr>
              <w:spacing w:line="276" w:lineRule="auto"/>
              <w:jc w:val="center"/>
              <w:rPr>
                <w:rFonts w:asciiTheme="minorHAnsi" w:hAnsiTheme="minorHAnsi"/>
                <w:b/>
                <w:i/>
              </w:rPr>
            </w:pPr>
            <w:r w:rsidRPr="00B51ABE">
              <w:rPr>
                <w:rFonts w:asciiTheme="minorHAnsi" w:hAnsiTheme="minorHAnsi"/>
                <w:b/>
                <w:i/>
              </w:rPr>
              <w:t>Things I Want to Remember</w:t>
            </w:r>
          </w:p>
        </w:tc>
      </w:tr>
      <w:tr w:rsidR="007F0DF5" w:rsidRPr="00B51ABE" w:rsidTr="002C2E09">
        <w:tc>
          <w:tcPr>
            <w:tcW w:w="918" w:type="dxa"/>
          </w:tcPr>
          <w:p w:rsidR="007F0DF5" w:rsidRDefault="0070372E" w:rsidP="002C2E0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13</w:t>
            </w:r>
          </w:p>
        </w:tc>
        <w:tc>
          <w:tcPr>
            <w:tcW w:w="4050" w:type="dxa"/>
          </w:tcPr>
          <w:p w:rsidR="007F0DF5" w:rsidRPr="00B51ABE" w:rsidRDefault="0070372E" w:rsidP="002C2E09">
            <w:pPr>
              <w:spacing w:line="36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Did anyone notice…</w:t>
            </w:r>
          </w:p>
        </w:tc>
        <w:tc>
          <w:tcPr>
            <w:tcW w:w="4608" w:type="dxa"/>
          </w:tcPr>
          <w:p w:rsidR="007F0DF5" w:rsidRPr="00801CD4" w:rsidRDefault="006264EE" w:rsidP="003E44CB">
            <w:pPr>
              <w:spacing w:line="276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This seems like a nice </w:t>
            </w:r>
            <w:r w:rsidR="008F50B0">
              <w:rPr>
                <w:rFonts w:asciiTheme="minorHAnsi" w:hAnsiTheme="minorHAnsi"/>
              </w:rPr>
              <w:t>way</w:t>
            </w:r>
            <w:r>
              <w:rPr>
                <w:rFonts w:asciiTheme="minorHAnsi" w:hAnsiTheme="minorHAnsi"/>
              </w:rPr>
              <w:t xml:space="preserve"> to introduce new specifics from the reading material that the children may have gone through, a</w:t>
            </w:r>
            <w:r w:rsidR="008F50B0">
              <w:rPr>
                <w:rFonts w:asciiTheme="minorHAnsi" w:hAnsiTheme="minorHAnsi"/>
              </w:rPr>
              <w:t>nd it is nice that it can be don</w:t>
            </w:r>
            <w:r>
              <w:rPr>
                <w:rFonts w:asciiTheme="minorHAnsi" w:hAnsiTheme="minorHAnsi"/>
              </w:rPr>
              <w:t>e with</w:t>
            </w:r>
            <w:r w:rsidR="008F50B0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any subject. For example, the student may have read a section</w:t>
            </w:r>
            <w:r w:rsidR="008F50B0">
              <w:rPr>
                <w:rFonts w:asciiTheme="minorHAnsi" w:hAnsiTheme="minorHAnsi"/>
              </w:rPr>
              <w:t xml:space="preserve"> in the social studies text but may have not understood all of the words/ideas. This activity is a chance</w:t>
            </w:r>
            <w:r w:rsidR="00DC2EEC">
              <w:rPr>
                <w:rFonts w:asciiTheme="minorHAnsi" w:hAnsiTheme="minorHAnsi"/>
              </w:rPr>
              <w:t xml:space="preserve"> for the students to learn </w:t>
            </w:r>
            <w:r w:rsidR="008C702F">
              <w:rPr>
                <w:rFonts w:asciiTheme="minorHAnsi" w:hAnsiTheme="minorHAnsi"/>
              </w:rPr>
              <w:t>many new things in an open environment.</w:t>
            </w:r>
          </w:p>
        </w:tc>
      </w:tr>
      <w:tr w:rsidR="007F0DF5" w:rsidRPr="00B51ABE" w:rsidTr="002C2E09">
        <w:tc>
          <w:tcPr>
            <w:tcW w:w="918" w:type="dxa"/>
          </w:tcPr>
          <w:p w:rsidR="007F0DF5" w:rsidRDefault="0016665E" w:rsidP="002C2E0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4050" w:type="dxa"/>
          </w:tcPr>
          <w:p w:rsidR="007F0DF5" w:rsidRDefault="0016665E" w:rsidP="002C2E09">
            <w:pPr>
              <w:spacing w:line="36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That’s not like you</w:t>
            </w:r>
          </w:p>
        </w:tc>
        <w:tc>
          <w:tcPr>
            <w:tcW w:w="4608" w:type="dxa"/>
          </w:tcPr>
          <w:p w:rsidR="007F0DF5" w:rsidRDefault="0016665E" w:rsidP="003E44CB">
            <w:pPr>
              <w:spacing w:line="276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Treating bad behavior in a student </w:t>
            </w:r>
            <w:r w:rsidR="001C2AFC">
              <w:rPr>
                <w:rFonts w:asciiTheme="minorHAnsi" w:hAnsiTheme="minorHAnsi"/>
              </w:rPr>
              <w:t>as atypical can be something that would help foster the best behavior in someone. I just wonder how it would work with those who are far gone. Like the student I had in class who had an ankle bracelet</w:t>
            </w:r>
            <w:r w:rsidR="002F242E">
              <w:rPr>
                <w:rFonts w:asciiTheme="minorHAnsi" w:hAnsiTheme="minorHAnsi"/>
              </w:rPr>
              <w:t xml:space="preserve"> from the police</w:t>
            </w:r>
            <w:r w:rsidR="001C2AFC">
              <w:rPr>
                <w:rFonts w:asciiTheme="minorHAnsi" w:hAnsiTheme="minorHAnsi"/>
              </w:rPr>
              <w:t xml:space="preserve"> and yelled out to other</w:t>
            </w:r>
            <w:r w:rsidR="002F242E">
              <w:rPr>
                <w:rFonts w:asciiTheme="minorHAnsi" w:hAnsiTheme="minorHAnsi"/>
              </w:rPr>
              <w:t xml:space="preserve"> across the class,</w:t>
            </w:r>
            <w:r w:rsidR="001C2AFC">
              <w:rPr>
                <w:rFonts w:asciiTheme="minorHAnsi" w:hAnsiTheme="minorHAnsi"/>
              </w:rPr>
              <w:t xml:space="preserve"> ‘I’m gonna cut you, bitch</w:t>
            </w:r>
            <w:r w:rsidR="002F242E">
              <w:rPr>
                <w:rFonts w:asciiTheme="minorHAnsi" w:hAnsiTheme="minorHAnsi"/>
              </w:rPr>
              <w:t>!</w:t>
            </w:r>
            <w:r w:rsidR="001C2AFC">
              <w:rPr>
                <w:rFonts w:asciiTheme="minorHAnsi" w:hAnsiTheme="minorHAnsi"/>
              </w:rPr>
              <w:t xml:space="preserve">’ </w:t>
            </w:r>
            <w:r w:rsidR="002F242E">
              <w:rPr>
                <w:rFonts w:asciiTheme="minorHAnsi" w:hAnsiTheme="minorHAnsi"/>
              </w:rPr>
              <w:t>When they come in on day one like that, can I say “golly G-Money, that’s not like you.”</w:t>
            </w:r>
          </w:p>
        </w:tc>
      </w:tr>
      <w:tr w:rsidR="007F0DF5" w:rsidRPr="00B51ABE" w:rsidTr="002C2E09">
        <w:tc>
          <w:tcPr>
            <w:tcW w:w="918" w:type="dxa"/>
          </w:tcPr>
          <w:p w:rsidR="007F0DF5" w:rsidRDefault="00550A8E" w:rsidP="002C2E0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33</w:t>
            </w:r>
          </w:p>
        </w:tc>
        <w:tc>
          <w:tcPr>
            <w:tcW w:w="4050" w:type="dxa"/>
          </w:tcPr>
          <w:p w:rsidR="007F0DF5" w:rsidRDefault="00550A8E" w:rsidP="002C2E09">
            <w:pPr>
              <w:spacing w:line="36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How are you planning to go about this?</w:t>
            </w:r>
          </w:p>
        </w:tc>
        <w:tc>
          <w:tcPr>
            <w:tcW w:w="4608" w:type="dxa"/>
          </w:tcPr>
          <w:p w:rsidR="007F0DF5" w:rsidRDefault="003E44CB" w:rsidP="003E44CB">
            <w:pPr>
              <w:spacing w:line="276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‘</w:t>
            </w:r>
            <w:r w:rsidRPr="00A809E7">
              <w:rPr>
                <w:rFonts w:asciiTheme="minorHAnsi" w:hAnsiTheme="minorHAnsi"/>
                <w:i/>
              </w:rPr>
              <w:t>planning means organizing for a productive narrative’</w:t>
            </w:r>
            <w:r>
              <w:rPr>
                <w:rFonts w:asciiTheme="minorHAnsi" w:hAnsiTheme="minorHAnsi"/>
              </w:rPr>
              <w:t xml:space="preserve"> I like to plan ahead and I think it would be beneficial to teach students how to plan for writing a paper. It’s effective and the end product is so much more clear that if they did not take the time to do it. </w:t>
            </w:r>
          </w:p>
        </w:tc>
      </w:tr>
    </w:tbl>
    <w:p w:rsidR="007F0DF5" w:rsidRDefault="007F0DF5" w:rsidP="007F0DF5"/>
    <w:sectPr w:rsidR="007F0DF5" w:rsidSect="005500B5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0127" w:rsidRDefault="00F60127" w:rsidP="00492063">
      <w:r>
        <w:separator/>
      </w:r>
    </w:p>
  </w:endnote>
  <w:endnote w:type="continuationSeparator" w:id="1">
    <w:p w:rsidR="00F60127" w:rsidRDefault="00F60127" w:rsidP="004920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urora BdCn BT">
    <w:panose1 w:val="020B070602020705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C58" w:rsidRPr="00260E41" w:rsidRDefault="00921B40" w:rsidP="00480C58">
    <w:pPr>
      <w:pBdr>
        <w:top w:val="single" w:sz="4" w:space="1" w:color="auto"/>
      </w:pBdr>
      <w:rPr>
        <w:i/>
        <w:sz w:val="16"/>
      </w:rPr>
    </w:pPr>
    <w:r w:rsidRPr="00260E41">
      <w:rPr>
        <w:i/>
        <w:sz w:val="16"/>
      </w:rPr>
      <w:t>All references are made to the following text:</w:t>
    </w:r>
  </w:p>
  <w:p w:rsidR="00480C58" w:rsidRPr="00480C58" w:rsidRDefault="00921B40" w:rsidP="00480C58">
    <w:pPr>
      <w:pBdr>
        <w:top w:val="single" w:sz="4" w:space="1" w:color="auto"/>
      </w:pBdr>
      <w:ind w:firstLine="720"/>
      <w:rPr>
        <w:sz w:val="16"/>
      </w:rPr>
    </w:pPr>
    <w:r>
      <w:rPr>
        <w:sz w:val="16"/>
      </w:rPr>
      <w:t>Choice Words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0127" w:rsidRDefault="00F60127" w:rsidP="00492063">
      <w:r>
        <w:separator/>
      </w:r>
    </w:p>
  </w:footnote>
  <w:footnote w:type="continuationSeparator" w:id="1">
    <w:p w:rsidR="00F60127" w:rsidRDefault="00F60127" w:rsidP="004920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3E12" w:rsidRPr="00B51ABE" w:rsidRDefault="00921B40" w:rsidP="00993E12">
    <w:pPr>
      <w:ind w:left="720"/>
      <w:rPr>
        <w:rFonts w:asciiTheme="minorHAnsi" w:hAnsiTheme="minorHAnsi"/>
        <w:b/>
        <w:sz w:val="28"/>
      </w:rPr>
    </w:pPr>
    <w:r w:rsidRPr="00B51ABE">
      <w:rPr>
        <w:rFonts w:asciiTheme="minorHAnsi" w:hAnsiTheme="minorHAnsi"/>
        <w:b/>
        <w:noProof/>
        <w:sz w:val="28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-22160</wp:posOffset>
          </wp:positionH>
          <wp:positionV relativeFrom="paragraph">
            <wp:posOffset>0</wp:posOffset>
          </wp:positionV>
          <wp:extent cx="546035" cy="1009650"/>
          <wp:effectExtent l="171450" t="133350" r="368365" b="304800"/>
          <wp:wrapNone/>
          <wp:docPr id="2" name="Picture 0" descr="ryan 006c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yan 006c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6035" cy="1009650"/>
                  </a:xfrm>
                  <a:prstGeom prst="rect">
                    <a:avLst/>
                  </a:prstGeom>
                  <a:ln>
                    <a:noFill/>
                  </a:ln>
                  <a:effectLst>
                    <a:outerShdw blurRad="292100" dist="139700" dir="2700000" algn="tl" rotWithShape="0">
                      <a:srgbClr val="333333">
                        <a:alpha val="65000"/>
                      </a:srgbClr>
                    </a:outerShdw>
                  </a:effectLst>
                </pic:spPr>
              </pic:pic>
            </a:graphicData>
          </a:graphic>
        </wp:anchor>
      </w:drawing>
    </w:r>
    <w:r w:rsidRPr="00B51ABE">
      <w:rPr>
        <w:rFonts w:asciiTheme="minorHAnsi" w:hAnsiTheme="minorHAnsi"/>
        <w:b/>
        <w:sz w:val="28"/>
      </w:rPr>
      <w:t xml:space="preserve">   Mr. Ryan Lavine</w:t>
    </w:r>
  </w:p>
  <w:p w:rsidR="00B51ABE" w:rsidRPr="00B51ABE" w:rsidRDefault="00921B40" w:rsidP="00B51ABE">
    <w:pPr>
      <w:rPr>
        <w:rFonts w:asciiTheme="minorHAnsi" w:hAnsiTheme="minorHAnsi"/>
      </w:rPr>
    </w:pPr>
    <w:r w:rsidRPr="00B51ABE">
      <w:rPr>
        <w:rFonts w:asciiTheme="minorHAnsi" w:hAnsiTheme="minorHAnsi"/>
      </w:rPr>
      <w:t xml:space="preserve">   EDUC </w:t>
    </w:r>
    <w:r>
      <w:rPr>
        <w:rFonts w:asciiTheme="minorHAnsi" w:hAnsiTheme="minorHAnsi"/>
      </w:rPr>
      <w:t xml:space="preserve">  </w:t>
    </w:r>
    <w:r w:rsidRPr="00B51ABE">
      <w:rPr>
        <w:rFonts w:asciiTheme="minorHAnsi" w:hAnsiTheme="minorHAnsi"/>
      </w:rPr>
      <w:t>410 – Student Centered Reading Programs</w:t>
    </w:r>
  </w:p>
  <w:p w:rsidR="00993E12" w:rsidRPr="00B51ABE" w:rsidRDefault="00921B40" w:rsidP="00B51ABE">
    <w:pPr>
      <w:ind w:firstLine="720"/>
      <w:rPr>
        <w:rFonts w:asciiTheme="minorHAnsi" w:hAnsiTheme="minorHAnsi"/>
      </w:rPr>
    </w:pPr>
    <w:r w:rsidRPr="00B51ABE">
      <w:rPr>
        <w:rFonts w:asciiTheme="minorHAnsi" w:hAnsiTheme="minorHAnsi"/>
      </w:rPr>
      <w:t xml:space="preserve">   Dr. Darcy Bradley</w:t>
    </w:r>
  </w:p>
  <w:p w:rsidR="00993E12" w:rsidRPr="00B51ABE" w:rsidRDefault="00921B40" w:rsidP="00993E12">
    <w:pPr>
      <w:ind w:firstLine="720"/>
      <w:rPr>
        <w:rFonts w:asciiTheme="minorHAnsi" w:hAnsiTheme="minorHAnsi"/>
      </w:rPr>
    </w:pPr>
    <w:r w:rsidRPr="00B51ABE">
      <w:rPr>
        <w:rFonts w:asciiTheme="minorHAnsi" w:hAnsiTheme="minorHAnsi"/>
      </w:rPr>
      <w:t xml:space="preserve">   Fall 2008</w:t>
    </w:r>
  </w:p>
  <w:p w:rsidR="00993E12" w:rsidRPr="00B51ABE" w:rsidRDefault="00921B40" w:rsidP="00993E12">
    <w:pPr>
      <w:pBdr>
        <w:bottom w:val="single" w:sz="4" w:space="1" w:color="auto"/>
      </w:pBdr>
      <w:ind w:firstLine="720"/>
      <w:rPr>
        <w:rFonts w:asciiTheme="minorHAnsi" w:hAnsiTheme="minorHAnsi"/>
      </w:rPr>
    </w:pPr>
    <w:r w:rsidRPr="00B51ABE">
      <w:rPr>
        <w:rFonts w:asciiTheme="minorHAnsi" w:hAnsiTheme="minorHAnsi"/>
      </w:rPr>
      <w:t xml:space="preserve">   </w:t>
    </w:r>
    <w:r>
      <w:rPr>
        <w:rFonts w:asciiTheme="minorHAnsi" w:hAnsiTheme="minorHAnsi"/>
      </w:rPr>
      <w:t xml:space="preserve">Choice Words </w:t>
    </w:r>
    <w:r w:rsidRPr="00B51ABE">
      <w:rPr>
        <w:rFonts w:asciiTheme="minorHAnsi" w:hAnsiTheme="minorHAnsi"/>
      </w:rPr>
      <w:t>Chapter Reflection</w:t>
    </w:r>
    <w:r>
      <w:rPr>
        <w:rFonts w:asciiTheme="minorHAnsi" w:hAnsiTheme="minorHAnsi"/>
      </w:rPr>
      <w:t>s</w:t>
    </w:r>
  </w:p>
  <w:p w:rsidR="00DD4619" w:rsidRDefault="00F60127" w:rsidP="00DD4619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0DF5"/>
    <w:rsid w:val="0016665E"/>
    <w:rsid w:val="001C2AFC"/>
    <w:rsid w:val="002F242E"/>
    <w:rsid w:val="00355F94"/>
    <w:rsid w:val="003E44CB"/>
    <w:rsid w:val="00492063"/>
    <w:rsid w:val="005500B5"/>
    <w:rsid w:val="00550A8E"/>
    <w:rsid w:val="006264EE"/>
    <w:rsid w:val="0070372E"/>
    <w:rsid w:val="007F0DF5"/>
    <w:rsid w:val="008C702F"/>
    <w:rsid w:val="008F50B0"/>
    <w:rsid w:val="00921B40"/>
    <w:rsid w:val="00A809E7"/>
    <w:rsid w:val="00DC2EEC"/>
    <w:rsid w:val="00F60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DF5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0DF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Ryan Lavine</dc:creator>
  <cp:lastModifiedBy>Mr. Ryan Lavine</cp:lastModifiedBy>
  <cp:revision>2</cp:revision>
  <dcterms:created xsi:type="dcterms:W3CDTF">2008-10-27T20:48:00Z</dcterms:created>
  <dcterms:modified xsi:type="dcterms:W3CDTF">2008-10-27T21:37:00Z</dcterms:modified>
</cp:coreProperties>
</file>